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0E" w:rsidRPr="00946F6D" w:rsidRDefault="001F508A">
      <w:pPr>
        <w:rPr>
          <w:rFonts w:ascii="Arial" w:hAnsi="Arial" w:cs="Arial"/>
          <w:sz w:val="20"/>
        </w:rPr>
      </w:pPr>
      <w:r w:rsidRPr="001F508A">
        <w:rPr>
          <w:rFonts w:ascii="Arial" w:hAnsi="Arial" w:cs="Arial"/>
          <w:b/>
          <w:color w:val="2F5496" w:themeColor="accent5" w:themeShade="BF"/>
          <w:sz w:val="36"/>
        </w:rPr>
        <w:t>Standard Operating Procedures for SARS-CoV-2/CoVID19 Research</w:t>
      </w:r>
      <w:r w:rsidR="00946F6D">
        <w:rPr>
          <w:rFonts w:ascii="Arial" w:hAnsi="Arial" w:cs="Arial"/>
          <w:b/>
          <w:color w:val="2F5496" w:themeColor="accent5" w:themeShade="BF"/>
          <w:sz w:val="36"/>
        </w:rPr>
        <w:t xml:space="preserve"> </w:t>
      </w:r>
      <w:r w:rsidR="00946F6D">
        <w:rPr>
          <w:rFonts w:ascii="Arial" w:hAnsi="Arial" w:cs="Arial"/>
          <w:sz w:val="20"/>
        </w:rPr>
        <w:t xml:space="preserve">(Version </w:t>
      </w:r>
      <w:r w:rsidR="004772AF">
        <w:rPr>
          <w:rFonts w:ascii="Arial" w:hAnsi="Arial" w:cs="Arial"/>
          <w:sz w:val="20"/>
        </w:rPr>
        <w:t>0</w:t>
      </w:r>
      <w:r w:rsidR="007B2AC8">
        <w:rPr>
          <w:rFonts w:ascii="Arial" w:hAnsi="Arial" w:cs="Arial"/>
          <w:sz w:val="20"/>
        </w:rPr>
        <w:t>9.18</w:t>
      </w:r>
      <w:r w:rsidR="00946F6D">
        <w:rPr>
          <w:rFonts w:ascii="Arial" w:hAnsi="Arial" w:cs="Arial"/>
          <w:sz w:val="20"/>
        </w:rPr>
        <w:t>.2020)</w:t>
      </w:r>
    </w:p>
    <w:p w:rsidR="00401361" w:rsidRPr="001259D3" w:rsidRDefault="00E8296F" w:rsidP="00401361">
      <w:pPr>
        <w:spacing w:after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document serves as a supplement to the general biosafety procedures (Good Standard Microbiological Practices) that should already be in place for your laboratory.  </w:t>
      </w:r>
      <w:r w:rsidR="00F157F7" w:rsidRPr="001259D3">
        <w:rPr>
          <w:rFonts w:ascii="Arial" w:hAnsi="Arial" w:cs="Arial"/>
          <w:sz w:val="24"/>
        </w:rPr>
        <w:t>The PI should delete any rows that do not apply to the proposed research, and add rows to the blue section at the bottom for additional procedures.</w:t>
      </w:r>
      <w:r w:rsidR="001259D3" w:rsidRPr="001259D3">
        <w:rPr>
          <w:rFonts w:ascii="Arial" w:hAnsi="Arial" w:cs="Arial"/>
          <w:sz w:val="24"/>
        </w:rPr>
        <w:t xml:space="preserve">  Please note t</w:t>
      </w:r>
      <w:r w:rsidR="00F157F7" w:rsidRPr="001259D3">
        <w:rPr>
          <w:rFonts w:ascii="Arial" w:hAnsi="Arial" w:cs="Arial"/>
          <w:sz w:val="24"/>
        </w:rPr>
        <w:t>he building code and room number for each procedure.</w:t>
      </w:r>
      <w:r w:rsidR="00402543" w:rsidRPr="001259D3">
        <w:rPr>
          <w:rFonts w:ascii="Arial" w:hAnsi="Arial" w:cs="Arial"/>
          <w:sz w:val="24"/>
        </w:rPr>
        <w:t xml:space="preserve">  The completed document </w:t>
      </w:r>
      <w:r w:rsidR="001259D3" w:rsidRPr="001259D3">
        <w:rPr>
          <w:rFonts w:ascii="Arial" w:hAnsi="Arial" w:cs="Arial"/>
          <w:sz w:val="24"/>
        </w:rPr>
        <w:t>must</w:t>
      </w:r>
      <w:r w:rsidR="00402543" w:rsidRPr="001259D3">
        <w:rPr>
          <w:rFonts w:ascii="Arial" w:hAnsi="Arial" w:cs="Arial"/>
          <w:sz w:val="24"/>
        </w:rPr>
        <w:t xml:space="preserve"> be included with any Biosafety Protocol </w:t>
      </w:r>
      <w:r w:rsidR="001259D3" w:rsidRPr="001259D3">
        <w:rPr>
          <w:rFonts w:ascii="Arial" w:hAnsi="Arial" w:cs="Arial"/>
          <w:sz w:val="24"/>
        </w:rPr>
        <w:t>(BSP) application or amendment for research use of SARS-CoV-2 materials or exposure to CoVID19 research subjects during active infection.</w:t>
      </w:r>
    </w:p>
    <w:p w:rsidR="009062A8" w:rsidRDefault="009062A8" w:rsidP="00401361">
      <w:pPr>
        <w:spacing w:after="240"/>
        <w:rPr>
          <w:rFonts w:ascii="Arial" w:hAnsi="Arial" w:cs="Arial"/>
          <w:b/>
          <w:sz w:val="28"/>
        </w:rPr>
      </w:pPr>
      <w:r w:rsidRPr="009062A8">
        <w:rPr>
          <w:rFonts w:ascii="Arial" w:hAnsi="Arial" w:cs="Arial"/>
          <w:b/>
          <w:sz w:val="28"/>
        </w:rPr>
        <w:t>PI: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Pr="009062A8">
        <w:rPr>
          <w:rFonts w:ascii="Arial" w:hAnsi="Arial" w:cs="Arial"/>
          <w:b/>
          <w:sz w:val="28"/>
        </w:rPr>
        <w:tab/>
      </w:r>
      <w:r w:rsidRPr="009062A8">
        <w:rPr>
          <w:rFonts w:ascii="Arial" w:hAnsi="Arial" w:cs="Arial"/>
          <w:b/>
          <w:sz w:val="28"/>
        </w:rPr>
        <w:tab/>
        <w:t xml:space="preserve">BSP# </w:t>
      </w:r>
    </w:p>
    <w:p w:rsidR="00401361" w:rsidRPr="00F157F7" w:rsidRDefault="00401361" w:rsidP="00401361">
      <w:pPr>
        <w:spacing w:after="240"/>
        <w:rPr>
          <w:rFonts w:ascii="Arial" w:hAnsi="Arial" w:cs="Arial"/>
          <w:sz w:val="28"/>
        </w:rPr>
      </w:pPr>
      <w:r w:rsidRPr="00401361">
        <w:rPr>
          <w:rFonts w:ascii="Arial" w:hAnsi="Arial" w:cs="Arial"/>
          <w:b/>
          <w:sz w:val="28"/>
        </w:rPr>
        <w:t>Disinfectant:</w:t>
      </w:r>
      <w:r w:rsidR="009062A8">
        <w:rPr>
          <w:rFonts w:ascii="Arial" w:hAnsi="Arial" w:cs="Arial"/>
          <w:b/>
          <w:sz w:val="28"/>
        </w:rPr>
        <w:t xml:space="preserve"> </w:t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 w:rsidR="009062A8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Pr="00401361">
        <w:rPr>
          <w:rFonts w:ascii="Arial" w:hAnsi="Arial" w:cs="Arial"/>
          <w:b/>
          <w:sz w:val="28"/>
        </w:rPr>
        <w:t>Contact time:</w:t>
      </w:r>
      <w:r>
        <w:rPr>
          <w:rFonts w:ascii="Arial" w:hAnsi="Arial" w:cs="Arial"/>
          <w:sz w:val="28"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14485" w:type="dxa"/>
        <w:tblLook w:val="04A0" w:firstRow="1" w:lastRow="0" w:firstColumn="1" w:lastColumn="0" w:noHBand="0" w:noVBand="1"/>
      </w:tblPr>
      <w:tblGrid>
        <w:gridCol w:w="2284"/>
        <w:gridCol w:w="1928"/>
        <w:gridCol w:w="1383"/>
        <w:gridCol w:w="1990"/>
        <w:gridCol w:w="6900"/>
      </w:tblGrid>
      <w:tr w:rsidR="0086142C" w:rsidTr="0086142C">
        <w:tc>
          <w:tcPr>
            <w:tcW w:w="2284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Procedure</w:t>
            </w:r>
          </w:p>
        </w:tc>
        <w:tc>
          <w:tcPr>
            <w:tcW w:w="1928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Containment level</w:t>
            </w:r>
          </w:p>
        </w:tc>
        <w:tc>
          <w:tcPr>
            <w:tcW w:w="1383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Location</w:t>
            </w:r>
          </w:p>
        </w:tc>
        <w:tc>
          <w:tcPr>
            <w:tcW w:w="1990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PPE requirements</w:t>
            </w:r>
          </w:p>
        </w:tc>
        <w:tc>
          <w:tcPr>
            <w:tcW w:w="6900" w:type="dxa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b/>
                <w:color w:val="2F5496" w:themeColor="accent5" w:themeShade="BF"/>
                <w:sz w:val="28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  <w:sz w:val="28"/>
              </w:rPr>
              <w:t>Safety</w:t>
            </w:r>
            <w:r w:rsidRPr="001F508A">
              <w:rPr>
                <w:rFonts w:ascii="Arial" w:hAnsi="Arial" w:cs="Arial"/>
                <w:b/>
                <w:color w:val="2F5496" w:themeColor="accent5" w:themeShade="BF"/>
                <w:sz w:val="28"/>
              </w:rPr>
              <w:t xml:space="preserve"> precautions</w:t>
            </w:r>
          </w:p>
        </w:tc>
      </w:tr>
      <w:tr w:rsidR="0086142C" w:rsidTr="00FC0721">
        <w:tc>
          <w:tcPr>
            <w:tcW w:w="2284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Specimen collection from infected subjects</w:t>
            </w:r>
          </w:p>
        </w:tc>
        <w:tc>
          <w:tcPr>
            <w:tcW w:w="1928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7CAAC" w:themeFill="accent2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F7CAAC" w:themeFill="accent2" w:themeFillTint="66"/>
            <w:vAlign w:val="center"/>
          </w:tcPr>
          <w:p w:rsidR="0086142C" w:rsidRPr="002A2464" w:rsidRDefault="00FC0721" w:rsidP="001259D3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This section is currently under construction</w:t>
            </w:r>
            <w:r w:rsidR="001259D3">
              <w:rPr>
                <w:rFonts w:ascii="Arial" w:hAnsi="Arial" w:cs="Arial"/>
                <w:color w:val="000000"/>
                <w:sz w:val="20"/>
                <w:szCs w:val="20"/>
              </w:rPr>
              <w:t xml:space="preserve">, please notify the Biological Safety Office if specimens will be collected by any research staff that is not involved with the standard of care treatment of these subjects.  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F157F7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 xml:space="preserve">Analysis of stool, whole blood, serum and urine 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Use of automated instruments and analyzers that have an aerosol containment features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Staining and microscopic analysis of fixed smears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lastRenderedPageBreak/>
              <w:t>E</w:t>
            </w:r>
            <w:r>
              <w:rPr>
                <w:rFonts w:ascii="Arial" w:hAnsi="Arial" w:cs="Arial"/>
                <w:sz w:val="24"/>
              </w:rPr>
              <w:t>xamination of bacterial cultures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Pathologic examination and processing of formalin-fixed or otherwise inactivated tissues (inactivation methods must be validated)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E8296F">
            <w:pPr>
              <w:pStyle w:val="NormalWeb"/>
              <w:numPr>
                <w:ilvl w:val="0"/>
                <w:numId w:val="6"/>
              </w:numPr>
              <w:spacing w:before="0" w:beforeAutospacing="0" w:after="60" w:afterAutospacing="0"/>
              <w:ind w:left="404" w:hanging="27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Molecular analysis of extracted nucleic acid preparations (NO nucleic acid extraction/isolation)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 xml:space="preserve">Final packaging of specimens for transport to diagnostic laboratories for additional testing (specimens should already be in a sealed, </w:t>
            </w:r>
            <w:r w:rsidRPr="001F508A">
              <w:rPr>
                <w:rFonts w:ascii="Arial" w:hAnsi="Arial" w:cs="Arial"/>
                <w:sz w:val="24"/>
              </w:rPr>
              <w:lastRenderedPageBreak/>
              <w:t>decontaminated primary container)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lastRenderedPageBreak/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Electron microscopy with glutaraldehyde-fixed grids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FACS analysis of fixed samples</w:t>
            </w:r>
          </w:p>
        </w:tc>
        <w:tc>
          <w:tcPr>
            <w:tcW w:w="1928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 w:rsidRPr="001F508A">
              <w:rPr>
                <w:rFonts w:ascii="Arial" w:hAnsi="Arial" w:cs="Arial"/>
                <w:sz w:val="24"/>
              </w:rPr>
              <w:t>BSL2</w:t>
            </w:r>
          </w:p>
        </w:tc>
        <w:tc>
          <w:tcPr>
            <w:tcW w:w="1383" w:type="dxa"/>
            <w:shd w:val="clear" w:color="auto" w:fill="E2EFD9" w:themeFill="accent6" w:themeFillTint="33"/>
            <w:vAlign w:val="center"/>
          </w:tcPr>
          <w:p w:rsidR="0086142C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E2EFD9" w:themeFill="accent6" w:themeFillTint="33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Surgical mask, gloves, lab coat, eye protection</w:t>
            </w:r>
          </w:p>
        </w:tc>
        <w:tc>
          <w:tcPr>
            <w:tcW w:w="6900" w:type="dxa"/>
            <w:shd w:val="clear" w:color="auto" w:fill="E2EFD9" w:themeFill="accent6" w:themeFillTint="33"/>
            <w:vAlign w:val="center"/>
          </w:tcPr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Access to the laboratory is restricted when work is being conducted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procedures in which infectious aerosols or splashes may be created are conducted in a biosafety cabinet (BSC)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Centrifuge safety caps should be used to avoid exposure to aerosols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Surface decontamination at every step using EPA List N disinfectants and contact times</w:t>
            </w:r>
          </w:p>
          <w:p w:rsidR="0086142C" w:rsidRPr="002A2464" w:rsidRDefault="0086142C" w:rsidP="0086142C">
            <w:pPr>
              <w:pStyle w:val="NormalWeb"/>
              <w:numPr>
                <w:ilvl w:val="0"/>
                <w:numId w:val="1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A2464">
              <w:rPr>
                <w:rFonts w:ascii="Arial" w:hAnsi="Arial" w:cs="Arial"/>
                <w:color w:val="000000"/>
                <w:sz w:val="20"/>
                <w:szCs w:val="20"/>
              </w:rPr>
              <w:t>All contaminated items should be treated as biomedical waste</w:t>
            </w:r>
          </w:p>
        </w:tc>
      </w:tr>
      <w:tr w:rsidR="0086142C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Aliquoting or diluting specimens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86142C" w:rsidRPr="001F508A" w:rsidRDefault="0086142C" w:rsidP="001F508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86142C" w:rsidRPr="001F508A" w:rsidRDefault="00EF1D41" w:rsidP="001F508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86142C" w:rsidRPr="0086142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86142C" w:rsidRPr="00AE519C" w:rsidRDefault="0086142C" w:rsidP="0086142C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Inoculating bacterial or mycological culture media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Performing diagnostic lab tests that do not involve propagation of viral agents </w:t>
            </w:r>
            <w:r w:rsidRPr="002B48F3">
              <w:rPr>
                <w:rFonts w:ascii="Arial" w:hAnsi="Arial" w:cs="Arial"/>
                <w:i/>
                <w:color w:val="000000"/>
              </w:rPr>
              <w:t>in vitro</w:t>
            </w:r>
            <w:r>
              <w:rPr>
                <w:rFonts w:ascii="Arial" w:hAnsi="Arial" w:cs="Arial"/>
                <w:color w:val="000000"/>
              </w:rPr>
              <w:t xml:space="preserve"> or </w:t>
            </w:r>
            <w:r w:rsidRPr="002B48F3">
              <w:rPr>
                <w:rFonts w:ascii="Arial" w:hAnsi="Arial" w:cs="Arial"/>
                <w:i/>
                <w:color w:val="000000"/>
              </w:rPr>
              <w:t>in vivo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Nucleic acid extraction procedures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Preparation and chemical- or heat-fixing of smear for microscopic analysis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Procedures with respiratory samples and secretions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FACS analysis of non-fixed samples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FFE599" w:themeFill="accent4" w:themeFillTint="66"/>
            <w:vAlign w:val="center"/>
          </w:tcPr>
          <w:p w:rsidR="00EF1D41" w:rsidRPr="002A2464" w:rsidRDefault="00EF1D41" w:rsidP="00EF1D41">
            <w:pPr>
              <w:pStyle w:val="NormalWeb"/>
              <w:spacing w:before="0" w:beforeAutospacing="0" w:after="6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Inactivated virus lysate</w:t>
            </w:r>
          </w:p>
        </w:tc>
        <w:tc>
          <w:tcPr>
            <w:tcW w:w="1928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BSL2+/BSL2 enhanced</w:t>
            </w:r>
          </w:p>
        </w:tc>
        <w:tc>
          <w:tcPr>
            <w:tcW w:w="1383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FFE599" w:themeFill="accent4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S</w:t>
            </w:r>
            <w:r w:rsidRPr="00FC0721">
              <w:rPr>
                <w:rFonts w:ascii="Arial" w:eastAsiaTheme="minorEastAsia" w:hAnsi="Arial" w:cs="Arial"/>
                <w:color w:val="000000"/>
                <w:sz w:val="20"/>
                <w:szCs w:val="24"/>
              </w:rPr>
              <w:t>urgical mask or N-95 respirator (for respiratory secretions), double gloves, disposable impervious gown, goggles/safety glasses with side shields/face shield</w:t>
            </w:r>
          </w:p>
        </w:tc>
        <w:tc>
          <w:tcPr>
            <w:tcW w:w="6900" w:type="dxa"/>
            <w:shd w:val="clear" w:color="auto" w:fill="FFE599" w:themeFill="accent4" w:themeFillTint="66"/>
            <w:vAlign w:val="center"/>
          </w:tcPr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All samples opened inside BSC in case of spills/leakage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Surface decontamination at every step using EPA List N disinfectants and contact times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Scheduled time for handling SARS-CoV-2 samples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60" w:afterAutospacing="0"/>
              <w:ind w:left="402" w:hanging="270"/>
              <w:rPr>
                <w:rFonts w:ascii="Arial" w:hAnsi="Arial" w:cs="Arial"/>
                <w:color w:val="000000"/>
                <w:sz w:val="2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Two person method to minimize withdrawing hands from BSC</w:t>
            </w:r>
          </w:p>
          <w:p w:rsidR="00EF1D41" w:rsidRPr="0086142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 w:rsidRPr="00AE519C">
              <w:rPr>
                <w:rFonts w:ascii="Arial" w:hAnsi="Arial" w:cs="Arial"/>
                <w:color w:val="000000"/>
                <w:sz w:val="20"/>
              </w:rPr>
              <w:t>Centrifugation of blood specimens in safety cups or sealed rotor, loaded and unloaded in BSC</w:t>
            </w:r>
          </w:p>
          <w:p w:rsidR="00EF1D41" w:rsidRPr="00AE519C" w:rsidRDefault="00EF1D41" w:rsidP="00EF1D41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02" w:hanging="27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All contaminated items should be disinfected before being removed from BSC and placed in biomedical waste container for disposal</w:t>
            </w:r>
          </w:p>
        </w:tc>
      </w:tr>
      <w:tr w:rsidR="00EF1D41" w:rsidTr="00FC0721">
        <w:tc>
          <w:tcPr>
            <w:tcW w:w="2284" w:type="dxa"/>
            <w:shd w:val="clear" w:color="auto" w:fill="BDD6EE" w:themeFill="accent1" w:themeFillTint="66"/>
            <w:vAlign w:val="center"/>
          </w:tcPr>
          <w:p w:rsidR="00EF1D41" w:rsidRDefault="00D578CB" w:rsidP="00EF1D4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Add any other procedures here</w:t>
            </w:r>
          </w:p>
        </w:tc>
        <w:tc>
          <w:tcPr>
            <w:tcW w:w="1928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BDD6EE" w:themeFill="accent1" w:themeFillTint="66"/>
            <w:vAlign w:val="center"/>
          </w:tcPr>
          <w:p w:rsidR="00EF1D41" w:rsidRPr="002A2464" w:rsidRDefault="00EF1D41" w:rsidP="00EF1D41">
            <w:pPr>
              <w:ind w:left="402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41" w:rsidTr="00FC0721">
        <w:tc>
          <w:tcPr>
            <w:tcW w:w="2284" w:type="dxa"/>
            <w:shd w:val="clear" w:color="auto" w:fill="BDD6EE" w:themeFill="accent1" w:themeFillTint="66"/>
            <w:vAlign w:val="center"/>
          </w:tcPr>
          <w:p w:rsidR="00EF1D41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8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BDD6EE" w:themeFill="accent1" w:themeFillTint="66"/>
            <w:vAlign w:val="center"/>
          </w:tcPr>
          <w:p w:rsidR="00EF1D41" w:rsidRPr="002A2464" w:rsidRDefault="00EF1D41" w:rsidP="00EF1D41">
            <w:pPr>
              <w:ind w:left="402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1D41" w:rsidTr="00FC0721">
        <w:tc>
          <w:tcPr>
            <w:tcW w:w="2284" w:type="dxa"/>
            <w:shd w:val="clear" w:color="auto" w:fill="BDD6EE" w:themeFill="accent1" w:themeFillTint="66"/>
            <w:vAlign w:val="center"/>
          </w:tcPr>
          <w:p w:rsidR="00EF1D41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28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383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90" w:type="dxa"/>
            <w:shd w:val="clear" w:color="auto" w:fill="BDD6EE" w:themeFill="accent1" w:themeFillTint="66"/>
            <w:vAlign w:val="center"/>
          </w:tcPr>
          <w:p w:rsidR="00EF1D41" w:rsidRPr="001F508A" w:rsidRDefault="00EF1D41" w:rsidP="00EF1D4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900" w:type="dxa"/>
            <w:shd w:val="clear" w:color="auto" w:fill="BDD6EE" w:themeFill="accent1" w:themeFillTint="66"/>
            <w:vAlign w:val="center"/>
          </w:tcPr>
          <w:p w:rsidR="00EF1D41" w:rsidRPr="002A2464" w:rsidRDefault="00EF1D41" w:rsidP="00EF1D41">
            <w:pPr>
              <w:ind w:left="402" w:hanging="27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6F6D" w:rsidRDefault="00946F6D" w:rsidP="004772AF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  <w:sz w:val="32"/>
          <w:u w:val="single"/>
        </w:rPr>
      </w:pPr>
    </w:p>
    <w:p w:rsidR="007B2AC8" w:rsidRDefault="007B2AC8" w:rsidP="007B2AC8">
      <w:pPr>
        <w:pStyle w:val="NormalWeb"/>
        <w:spacing w:before="0" w:beforeAutospacing="0" w:after="120" w:afterAutospacing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Mandatory reporting of illness or b</w:t>
      </w:r>
      <w:r w:rsidRPr="00967C3E">
        <w:rPr>
          <w:rFonts w:ascii="Arial" w:hAnsi="Arial" w:cs="Arial"/>
          <w:b/>
          <w:color w:val="000000"/>
        </w:rPr>
        <w:t>iological spills/accidents/</w:t>
      </w:r>
      <w:r>
        <w:rPr>
          <w:rFonts w:ascii="Arial" w:hAnsi="Arial" w:cs="Arial"/>
          <w:b/>
          <w:color w:val="000000"/>
        </w:rPr>
        <w:t xml:space="preserve">possible </w:t>
      </w:r>
      <w:r w:rsidRPr="00967C3E">
        <w:rPr>
          <w:rFonts w:ascii="Arial" w:hAnsi="Arial" w:cs="Arial"/>
          <w:b/>
          <w:color w:val="000000"/>
        </w:rPr>
        <w:t>exposures:</w:t>
      </w:r>
    </w:p>
    <w:p w:rsidR="007B2AC8" w:rsidRPr="00CC02B5" w:rsidRDefault="007B2AC8" w:rsidP="007B2AC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 w:rsidRPr="00967C3E">
        <w:rPr>
          <w:rFonts w:ascii="Arial" w:hAnsi="Arial" w:cs="Arial"/>
          <w:color w:val="000000"/>
        </w:rPr>
        <w:t>All spills, i</w:t>
      </w:r>
      <w:r>
        <w:rPr>
          <w:rFonts w:ascii="Arial" w:hAnsi="Arial" w:cs="Arial"/>
          <w:color w:val="000000"/>
        </w:rPr>
        <w:t xml:space="preserve">njuries or exposures involving SARS-CoV-2 samples </w:t>
      </w:r>
      <w:r w:rsidRPr="00CC02B5">
        <w:rPr>
          <w:rFonts w:ascii="Arial" w:hAnsi="Arial" w:cs="Arial"/>
          <w:color w:val="000000"/>
          <w:u w:val="single"/>
        </w:rPr>
        <w:t>must</w:t>
      </w:r>
      <w:r>
        <w:rPr>
          <w:rFonts w:ascii="Arial" w:hAnsi="Arial" w:cs="Arial"/>
          <w:color w:val="000000"/>
        </w:rPr>
        <w:t xml:space="preserve"> be </w:t>
      </w:r>
      <w:r w:rsidRPr="00967C3E">
        <w:rPr>
          <w:rFonts w:ascii="Arial" w:hAnsi="Arial" w:cs="Arial"/>
          <w:color w:val="000000"/>
        </w:rPr>
        <w:t>reported to the Principal Investigator a</w:t>
      </w:r>
      <w:r>
        <w:rPr>
          <w:rFonts w:ascii="Arial" w:hAnsi="Arial" w:cs="Arial"/>
          <w:color w:val="000000"/>
        </w:rPr>
        <w:t>nd the Biological Safety Office</w:t>
      </w:r>
    </w:p>
    <w:p w:rsidR="007B2AC8" w:rsidRDefault="007B2AC8" w:rsidP="007B2AC8">
      <w:pPr>
        <w:pStyle w:val="NormalWeb"/>
        <w:numPr>
          <w:ilvl w:val="0"/>
          <w:numId w:val="7"/>
        </w:numPr>
        <w:spacing w:before="0" w:beforeAutospacing="0" w:after="48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Possible exposure events must also</w:t>
      </w:r>
      <w:r w:rsidRPr="00CC02B5">
        <w:rPr>
          <w:rFonts w:ascii="Arial" w:hAnsi="Arial" w:cs="Arial"/>
          <w:color w:val="000000"/>
        </w:rPr>
        <w:t xml:space="preserve"> be rep</w:t>
      </w:r>
      <w:r>
        <w:rPr>
          <w:rFonts w:ascii="Arial" w:hAnsi="Arial" w:cs="Arial"/>
          <w:color w:val="000000"/>
        </w:rPr>
        <w:t>orted to Employee/Student Health.</w:t>
      </w:r>
    </w:p>
    <w:p w:rsidR="007B2AC8" w:rsidRDefault="007B2AC8" w:rsidP="007B2AC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Researchers must self-monitor for signs and symptoms of COVID-19; any illness must be reported to the PI, and any positive COVID-19 test must be reported to the Biological Safety Office and to </w:t>
      </w:r>
      <w:hyperlink r:id="rId7" w:history="1">
        <w:r w:rsidRPr="00BE5C9D">
          <w:rPr>
            <w:rStyle w:val="Hyperlink"/>
            <w:rFonts w:ascii="Arial" w:hAnsi="Arial" w:cs="Arial"/>
          </w:rPr>
          <w:t>REPORTCOVID@augusta.edu</w:t>
        </w:r>
      </w:hyperlink>
      <w:r>
        <w:rPr>
          <w:rFonts w:ascii="Arial" w:hAnsi="Arial" w:cs="Arial"/>
          <w:color w:val="000000"/>
        </w:rPr>
        <w:t>. Signs and symptoms of COVID-19 include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Fever or chills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Cough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Shortness of breath or difficulty breathing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Fatigue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Muscle or body aches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Headache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New loss of taste or smell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Sore throat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Congestion or runny nose</w:t>
      </w:r>
    </w:p>
    <w:p w:rsidR="007B2AC8" w:rsidRPr="007012F5" w:rsidRDefault="007B2AC8" w:rsidP="007B2AC8">
      <w:pPr>
        <w:pStyle w:val="NormalWeb"/>
        <w:numPr>
          <w:ilvl w:val="1"/>
          <w:numId w:val="7"/>
        </w:numPr>
        <w:spacing w:after="48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Nausea or vomiting</w:t>
      </w:r>
    </w:p>
    <w:p w:rsidR="007B2AC8" w:rsidRPr="007B2AC8" w:rsidRDefault="007B2AC8" w:rsidP="007B2AC8">
      <w:pPr>
        <w:pStyle w:val="NormalWeb"/>
        <w:numPr>
          <w:ilvl w:val="1"/>
          <w:numId w:val="7"/>
        </w:numPr>
        <w:spacing w:before="0" w:beforeAutospacing="0" w:after="480" w:afterAutospacing="0"/>
        <w:rPr>
          <w:rFonts w:ascii="Arial" w:hAnsi="Arial" w:cs="Arial"/>
          <w:color w:val="000000"/>
        </w:rPr>
      </w:pPr>
      <w:r w:rsidRPr="007012F5">
        <w:rPr>
          <w:rFonts w:ascii="Arial" w:hAnsi="Arial" w:cs="Arial"/>
          <w:color w:val="000000"/>
        </w:rPr>
        <w:t>Diarrhea</w:t>
      </w:r>
    </w:p>
    <w:p w:rsidR="00F157F7" w:rsidRPr="004772AF" w:rsidRDefault="00F157F7" w:rsidP="004772AF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32"/>
          <w:u w:val="single"/>
        </w:rPr>
      </w:pPr>
      <w:r w:rsidRPr="004772AF">
        <w:rPr>
          <w:rFonts w:ascii="Arial" w:hAnsi="Arial" w:cs="Arial"/>
          <w:b/>
          <w:color w:val="000000"/>
          <w:sz w:val="32"/>
          <w:u w:val="single"/>
        </w:rPr>
        <w:t>EXPERIMENTS THAT REQUIRE BSL3 CONTAINMENT</w:t>
      </w:r>
    </w:p>
    <w:p w:rsidR="00F157F7" w:rsidRPr="004772AF" w:rsidRDefault="00F157F7" w:rsidP="00F157F7">
      <w:pPr>
        <w:pStyle w:val="NormalWeb"/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 xml:space="preserve">The following types of experiments require BSL3 containment and </w:t>
      </w:r>
      <w:r w:rsidRPr="004772AF">
        <w:rPr>
          <w:rFonts w:ascii="Arial" w:hAnsi="Arial" w:cs="Arial"/>
          <w:color w:val="000000"/>
          <w:u w:val="single"/>
        </w:rPr>
        <w:t>cannot</w:t>
      </w:r>
      <w:r w:rsidRPr="004772AF">
        <w:rPr>
          <w:rFonts w:ascii="Arial" w:hAnsi="Arial" w:cs="Arial"/>
          <w:color w:val="000000"/>
        </w:rPr>
        <w:t xml:space="preserve"> be conducted at Augusta University at this time: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 xml:space="preserve">Virus culture or isolation 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>Initial characterization of viral agents recovered in culture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i/>
          <w:color w:val="000000"/>
        </w:rPr>
        <w:t>In vitro</w:t>
      </w:r>
      <w:r w:rsidRPr="004772AF">
        <w:rPr>
          <w:rFonts w:ascii="Arial" w:hAnsi="Arial" w:cs="Arial"/>
          <w:color w:val="000000"/>
        </w:rPr>
        <w:t xml:space="preserve"> or </w:t>
      </w:r>
      <w:r w:rsidRPr="004772AF">
        <w:rPr>
          <w:rFonts w:ascii="Arial" w:hAnsi="Arial" w:cs="Arial"/>
          <w:i/>
          <w:color w:val="000000"/>
        </w:rPr>
        <w:t>in vivo</w:t>
      </w:r>
      <w:r w:rsidRPr="004772AF">
        <w:rPr>
          <w:rFonts w:ascii="Arial" w:hAnsi="Arial" w:cs="Arial"/>
          <w:color w:val="000000"/>
        </w:rPr>
        <w:t xml:space="preserve"> models of infection involving wild type virus </w:t>
      </w:r>
    </w:p>
    <w:p w:rsidR="00F157F7" w:rsidRPr="004772AF" w:rsidRDefault="00F157F7" w:rsidP="00F157F7">
      <w:pPr>
        <w:pStyle w:val="NormalWeb"/>
        <w:numPr>
          <w:ilvl w:val="0"/>
          <w:numId w:val="4"/>
        </w:numPr>
        <w:spacing w:before="0" w:beforeAutospacing="0" w:after="6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>High speed cell sorting</w:t>
      </w:r>
    </w:p>
    <w:p w:rsidR="00F157F7" w:rsidRPr="004772AF" w:rsidRDefault="00F157F7" w:rsidP="00946F6D">
      <w:pPr>
        <w:pStyle w:val="NormalWeb"/>
        <w:numPr>
          <w:ilvl w:val="0"/>
          <w:numId w:val="4"/>
        </w:numPr>
        <w:spacing w:before="0" w:beforeAutospacing="0" w:after="240" w:afterAutospacing="0"/>
        <w:rPr>
          <w:rFonts w:ascii="Arial" w:hAnsi="Arial" w:cs="Arial"/>
          <w:color w:val="000000"/>
        </w:rPr>
      </w:pPr>
      <w:r w:rsidRPr="004772AF">
        <w:rPr>
          <w:rFonts w:ascii="Arial" w:hAnsi="Arial" w:cs="Arial"/>
          <w:color w:val="000000"/>
        </w:rPr>
        <w:t>Inactivation of viral cultures for transfer out of containment</w:t>
      </w:r>
    </w:p>
    <w:sectPr w:rsidR="00F157F7" w:rsidRPr="004772AF" w:rsidSect="00946F6D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149" w:rsidRDefault="00424149" w:rsidP="00946F6D">
      <w:pPr>
        <w:spacing w:after="0" w:line="240" w:lineRule="auto"/>
      </w:pPr>
      <w:r>
        <w:separator/>
      </w:r>
    </w:p>
  </w:endnote>
  <w:endnote w:type="continuationSeparator" w:id="0">
    <w:p w:rsidR="00424149" w:rsidRDefault="00424149" w:rsidP="00946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547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F6D" w:rsidRDefault="00946F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2A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6F6D" w:rsidRDefault="00946F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149" w:rsidRDefault="00424149" w:rsidP="00946F6D">
      <w:pPr>
        <w:spacing w:after="0" w:line="240" w:lineRule="auto"/>
      </w:pPr>
      <w:r>
        <w:separator/>
      </w:r>
    </w:p>
  </w:footnote>
  <w:footnote w:type="continuationSeparator" w:id="0">
    <w:p w:rsidR="00424149" w:rsidRDefault="00424149" w:rsidP="00946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056E"/>
    <w:multiLevelType w:val="hybridMultilevel"/>
    <w:tmpl w:val="D7D49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E6568"/>
    <w:multiLevelType w:val="hybridMultilevel"/>
    <w:tmpl w:val="24F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54BC5"/>
    <w:multiLevelType w:val="hybridMultilevel"/>
    <w:tmpl w:val="1A1AC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519C"/>
    <w:multiLevelType w:val="hybridMultilevel"/>
    <w:tmpl w:val="3E86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0159"/>
    <w:multiLevelType w:val="hybridMultilevel"/>
    <w:tmpl w:val="B3DE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C32C1"/>
    <w:multiLevelType w:val="hybridMultilevel"/>
    <w:tmpl w:val="AF12D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A452B"/>
    <w:multiLevelType w:val="hybridMultilevel"/>
    <w:tmpl w:val="84BA6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A"/>
    <w:rsid w:val="001259D3"/>
    <w:rsid w:val="001F508A"/>
    <w:rsid w:val="002A2464"/>
    <w:rsid w:val="003A230E"/>
    <w:rsid w:val="00401361"/>
    <w:rsid w:val="00402543"/>
    <w:rsid w:val="00424149"/>
    <w:rsid w:val="004772AF"/>
    <w:rsid w:val="007B2AC8"/>
    <w:rsid w:val="00807C2C"/>
    <w:rsid w:val="0086142C"/>
    <w:rsid w:val="009062A8"/>
    <w:rsid w:val="00946F6D"/>
    <w:rsid w:val="00AE519C"/>
    <w:rsid w:val="00B70FD1"/>
    <w:rsid w:val="00D578CB"/>
    <w:rsid w:val="00D83E40"/>
    <w:rsid w:val="00DA756A"/>
    <w:rsid w:val="00DE24FE"/>
    <w:rsid w:val="00E8296F"/>
    <w:rsid w:val="00EF1D41"/>
    <w:rsid w:val="00F157F7"/>
    <w:rsid w:val="00FC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7D20"/>
  <w15:chartTrackingRefBased/>
  <w15:docId w15:val="{0C74F000-4EB6-4390-8545-E66F80DC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24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7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F6D"/>
  </w:style>
  <w:style w:type="paragraph" w:styleId="Footer">
    <w:name w:val="footer"/>
    <w:basedOn w:val="Normal"/>
    <w:link w:val="FooterChar"/>
    <w:uiPriority w:val="99"/>
    <w:unhideWhenUsed/>
    <w:rsid w:val="00946F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F6D"/>
  </w:style>
  <w:style w:type="character" w:styleId="Hyperlink">
    <w:name w:val="Hyperlink"/>
    <w:basedOn w:val="DefaultParagraphFont"/>
    <w:uiPriority w:val="99"/>
    <w:unhideWhenUsed/>
    <w:rsid w:val="007B2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PORTCOVID@august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CDE"/>
    <w:rsid w:val="004D433A"/>
    <w:rsid w:val="0072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04AD2445A14BA69E7DDE9E50A04FA6">
    <w:name w:val="0A04AD2445A14BA69E7DDE9E50A04FA6"/>
    <w:rsid w:val="00722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University</Company>
  <LinksUpToDate>false</LinksUpToDate>
  <CharactersWithSpaces>12677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Chapman, Laura A.</dc:creator>
  <cp:keywords/>
  <dc:description/>
  <cp:lastModifiedBy>Meyer Chapman, Laura A.</cp:lastModifiedBy>
  <cp:revision>2</cp:revision>
  <dcterms:created xsi:type="dcterms:W3CDTF">2020-09-18T13:11:00Z</dcterms:created>
  <dcterms:modified xsi:type="dcterms:W3CDTF">2020-09-18T13:11:00Z</dcterms:modified>
</cp:coreProperties>
</file>